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461F" w14:textId="73A044D6" w:rsidR="00996A59" w:rsidRPr="008A41E9" w:rsidRDefault="00996A59" w:rsidP="008A41E9">
      <w:pPr>
        <w:spacing w:line="288" w:lineRule="auto"/>
        <w:rPr>
          <w:b/>
          <w:sz w:val="22"/>
          <w:szCs w:val="22"/>
          <w:lang w:eastAsia="ar-SA"/>
        </w:rPr>
      </w:pPr>
      <w:bookmarkStart w:id="0" w:name="_GoBack"/>
      <w:bookmarkEnd w:id="0"/>
      <w:r w:rsidRPr="008A41E9">
        <w:rPr>
          <w:b/>
          <w:sz w:val="28"/>
          <w:szCs w:val="28"/>
        </w:rPr>
        <w:t>PbWO4 crystal quality specifications</w:t>
      </w:r>
    </w:p>
    <w:p w14:paraId="6B9BEBAA" w14:textId="01C0F052" w:rsidR="00323929" w:rsidRPr="00AA62FC" w:rsidRDefault="00096665" w:rsidP="00AA62FC">
      <w:pPr>
        <w:spacing w:line="288" w:lineRule="auto"/>
        <w:rPr>
          <w:sz w:val="22"/>
          <w:szCs w:val="22"/>
          <w:lang w:eastAsia="ar-SA"/>
        </w:rPr>
      </w:pPr>
      <w:r w:rsidRPr="00AA62FC">
        <w:rPr>
          <w:sz w:val="22"/>
          <w:szCs w:val="22"/>
          <w:lang w:eastAsia="ar-SA"/>
        </w:rPr>
        <w:t>Crystal specificati</w:t>
      </w:r>
      <w:r w:rsidR="008A41E9">
        <w:rPr>
          <w:sz w:val="22"/>
          <w:szCs w:val="22"/>
          <w:lang w:eastAsia="ar-SA"/>
        </w:rPr>
        <w:t>on parameters, NPS requirements</w:t>
      </w:r>
      <w:r w:rsidRPr="00AA62FC">
        <w:rPr>
          <w:sz w:val="22"/>
          <w:szCs w:val="22"/>
          <w:lang w:eastAsia="ar-SA"/>
        </w:rPr>
        <w:t>.</w:t>
      </w: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3505"/>
        <w:gridCol w:w="1260"/>
        <w:gridCol w:w="1980"/>
      </w:tblGrid>
      <w:tr w:rsidR="008A41E9" w14:paraId="47AF0788" w14:textId="77777777" w:rsidTr="008A41E9">
        <w:tc>
          <w:tcPr>
            <w:tcW w:w="3505" w:type="dxa"/>
          </w:tcPr>
          <w:p w14:paraId="01FF6B69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Parameter</w:t>
            </w:r>
          </w:p>
        </w:tc>
        <w:tc>
          <w:tcPr>
            <w:tcW w:w="1260" w:type="dxa"/>
          </w:tcPr>
          <w:p w14:paraId="3EC8542A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Unit</w:t>
            </w:r>
          </w:p>
        </w:tc>
        <w:tc>
          <w:tcPr>
            <w:tcW w:w="1980" w:type="dxa"/>
          </w:tcPr>
          <w:p w14:paraId="2651B1DE" w14:textId="77777777" w:rsidR="008A41E9" w:rsidRPr="001616FF" w:rsidRDefault="008A41E9" w:rsidP="001F2D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NPS</w:t>
            </w:r>
          </w:p>
          <w:p w14:paraId="27215DA1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Required</w:t>
            </w:r>
          </w:p>
        </w:tc>
      </w:tr>
      <w:tr w:rsidR="008A41E9" w14:paraId="7A5DCFB8" w14:textId="77777777" w:rsidTr="008A41E9">
        <w:tc>
          <w:tcPr>
            <w:tcW w:w="3505" w:type="dxa"/>
          </w:tcPr>
          <w:p w14:paraId="20C0B77D" w14:textId="77777777" w:rsidR="008A41E9" w:rsidRPr="001616FF" w:rsidRDefault="008A41E9" w:rsidP="001F2DE2">
            <w:pPr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Light Yield (LY) at RT</w:t>
            </w:r>
          </w:p>
          <w:p w14:paraId="1C4BEA0A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90% within 100 ns gate at RT,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for all sides polished crystals)</w:t>
            </w:r>
          </w:p>
        </w:tc>
        <w:tc>
          <w:tcPr>
            <w:tcW w:w="1260" w:type="dxa"/>
          </w:tcPr>
          <w:p w14:paraId="275E3AE1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pe/MeV</w:t>
            </w:r>
          </w:p>
        </w:tc>
        <w:tc>
          <w:tcPr>
            <w:tcW w:w="1980" w:type="dxa"/>
          </w:tcPr>
          <w:p w14:paraId="65059AE2" w14:textId="0516011F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≥15</w:t>
            </w:r>
          </w:p>
        </w:tc>
      </w:tr>
      <w:tr w:rsidR="008A41E9" w14:paraId="14D4355F" w14:textId="77777777" w:rsidTr="008A41E9">
        <w:tc>
          <w:tcPr>
            <w:tcW w:w="3505" w:type="dxa"/>
          </w:tcPr>
          <w:p w14:paraId="7BF6C3F2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LY uniformity between blocks</w:t>
            </w:r>
          </w:p>
        </w:tc>
        <w:tc>
          <w:tcPr>
            <w:tcW w:w="1260" w:type="dxa"/>
          </w:tcPr>
          <w:p w14:paraId="44C80FBA" w14:textId="3078BE8D" w:rsidR="008A41E9" w:rsidRDefault="008A41E9" w:rsidP="008A41E9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%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A10334D" w14:textId="77777777" w:rsidR="008A41E9" w:rsidRDefault="008A41E9" w:rsidP="001F2DE2">
            <w:pPr>
              <w:spacing w:line="288" w:lineRule="auto"/>
              <w:jc w:val="both"/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616FF">
              <w:rPr>
                <w:b/>
                <w:sz w:val="20"/>
                <w:szCs w:val="20"/>
              </w:rPr>
              <w:t>10%</w:t>
            </w:r>
          </w:p>
        </w:tc>
      </w:tr>
      <w:tr w:rsidR="008A41E9" w14:paraId="7AF8B2C9" w14:textId="77777777" w:rsidTr="008A41E9">
        <w:tc>
          <w:tcPr>
            <w:tcW w:w="3505" w:type="dxa"/>
          </w:tcPr>
          <w:p w14:paraId="2C10399B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LY(100ns)/LY(1μs)</w:t>
            </w:r>
          </w:p>
        </w:tc>
        <w:tc>
          <w:tcPr>
            <w:tcW w:w="1260" w:type="dxa"/>
          </w:tcPr>
          <w:p w14:paraId="057EBCB7" w14:textId="3254F855" w:rsidR="008A41E9" w:rsidRDefault="008A41E9" w:rsidP="008A41E9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14:paraId="6A1A5DF1" w14:textId="77777777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&gt;95</w:t>
            </w:r>
          </w:p>
        </w:tc>
      </w:tr>
      <w:tr w:rsidR="008A41E9" w14:paraId="3AF60672" w14:textId="77777777" w:rsidTr="008A41E9">
        <w:tc>
          <w:tcPr>
            <w:tcW w:w="3505" w:type="dxa"/>
          </w:tcPr>
          <w:p w14:paraId="31EFD330" w14:textId="77777777" w:rsidR="008A41E9" w:rsidRPr="001616FF" w:rsidRDefault="008A41E9" w:rsidP="001F2DE2">
            <w:pPr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Longitudinal Transmission</w:t>
            </w:r>
          </w:p>
          <w:p w14:paraId="5885B02D" w14:textId="77777777" w:rsidR="008A41E9" w:rsidRPr="001616FF" w:rsidRDefault="008A41E9" w:rsidP="001F2D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at λ=360 nm</w:t>
            </w:r>
          </w:p>
          <w:p w14:paraId="1BC4A317" w14:textId="77777777" w:rsidR="008A41E9" w:rsidRPr="001616FF" w:rsidRDefault="008A41E9" w:rsidP="001F2D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at λ=420 nm</w:t>
            </w:r>
          </w:p>
          <w:p w14:paraId="61B15CAE" w14:textId="7A6B8E83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             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at λ=620 nm</w:t>
            </w:r>
          </w:p>
        </w:tc>
        <w:tc>
          <w:tcPr>
            <w:tcW w:w="1260" w:type="dxa"/>
          </w:tcPr>
          <w:p w14:paraId="73417C93" w14:textId="77777777" w:rsidR="008A41E9" w:rsidRDefault="008A41E9" w:rsidP="008A41E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0AFDDD56" w14:textId="2332E9D6" w:rsidR="008A41E9" w:rsidRPr="001616FF" w:rsidRDefault="008A41E9" w:rsidP="008A41E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%</w:t>
            </w:r>
          </w:p>
          <w:p w14:paraId="4820D36E" w14:textId="4125ED97" w:rsidR="008A41E9" w:rsidRPr="001616FF" w:rsidRDefault="008A41E9" w:rsidP="008A41E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%</w:t>
            </w:r>
          </w:p>
          <w:p w14:paraId="2E5BFCBA" w14:textId="61A70D06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14:paraId="19FB3647" w14:textId="77777777" w:rsidR="008A41E9" w:rsidRDefault="008A41E9" w:rsidP="001F2D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555DF8F0" w14:textId="11C5D179" w:rsidR="008A41E9" w:rsidRDefault="008A41E9" w:rsidP="008A41E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≥35</w:t>
            </w:r>
          </w:p>
          <w:p w14:paraId="11240368" w14:textId="35D80A0C" w:rsidR="008A41E9" w:rsidRPr="001616FF" w:rsidRDefault="008A41E9" w:rsidP="008A41E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≥60</w:t>
            </w:r>
          </w:p>
          <w:p w14:paraId="2DA355B2" w14:textId="77777777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≥70</w:t>
            </w:r>
          </w:p>
        </w:tc>
      </w:tr>
      <w:tr w:rsidR="008A41E9" w14:paraId="454E8C35" w14:textId="77777777" w:rsidTr="008A41E9">
        <w:tc>
          <w:tcPr>
            <w:tcW w:w="3505" w:type="dxa"/>
          </w:tcPr>
          <w:p w14:paraId="0B620CD9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Transverse Transmission and LY uniformity along crystal</w:t>
            </w:r>
          </w:p>
        </w:tc>
        <w:tc>
          <w:tcPr>
            <w:tcW w:w="1260" w:type="dxa"/>
          </w:tcPr>
          <w:p w14:paraId="4B93949B" w14:textId="6B90E39C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</w:tcPr>
          <w:p w14:paraId="77B8EBDA" w14:textId="22A512DB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</w:tr>
      <w:tr w:rsidR="008A41E9" w14:paraId="2695CFEC" w14:textId="77777777" w:rsidTr="008A41E9">
        <w:tc>
          <w:tcPr>
            <w:tcW w:w="3505" w:type="dxa"/>
          </w:tcPr>
          <w:p w14:paraId="7165994E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Inhomogeneity of Transverse Transmission Δλ at T=50%</w:t>
            </w:r>
          </w:p>
        </w:tc>
        <w:tc>
          <w:tcPr>
            <w:tcW w:w="1260" w:type="dxa"/>
          </w:tcPr>
          <w:p w14:paraId="61B72D2F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nm</w:t>
            </w:r>
          </w:p>
        </w:tc>
        <w:tc>
          <w:tcPr>
            <w:tcW w:w="1980" w:type="dxa"/>
          </w:tcPr>
          <w:p w14:paraId="4B4D5AFC" w14:textId="082EC3B1" w:rsidR="008A41E9" w:rsidRDefault="008A41E9" w:rsidP="001F2DE2">
            <w:pPr>
              <w:spacing w:line="288" w:lineRule="auto"/>
              <w:jc w:val="both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≤5</w:t>
            </w:r>
          </w:p>
        </w:tc>
      </w:tr>
      <w:tr w:rsidR="008A41E9" w14:paraId="29966E06" w14:textId="77777777" w:rsidTr="008A41E9">
        <w:tc>
          <w:tcPr>
            <w:tcW w:w="3505" w:type="dxa"/>
          </w:tcPr>
          <w:p w14:paraId="5C564BC7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Induced radiation absorption coefficient Δk at λ=420 nm and RT, for integral dose &gt;100 Gy</w:t>
            </w:r>
          </w:p>
        </w:tc>
        <w:tc>
          <w:tcPr>
            <w:tcW w:w="1260" w:type="dxa"/>
          </w:tcPr>
          <w:p w14:paraId="75A5F039" w14:textId="77777777" w:rsidR="008A41E9" w:rsidRPr="001616FF" w:rsidRDefault="008A41E9" w:rsidP="001F2D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79FDC03A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m</w:t>
            </w:r>
            <w:r w:rsidRPr="001616FF">
              <w:rPr>
                <w:rFonts w:ascii="Sylfaen" w:hAnsi="Sylfaen"/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0" w:type="dxa"/>
          </w:tcPr>
          <w:p w14:paraId="16C46549" w14:textId="77777777" w:rsidR="008A41E9" w:rsidRPr="001616FF" w:rsidRDefault="008A41E9" w:rsidP="001F2DE2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076E70DF" w14:textId="530E88A0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&lt;1.</w:t>
            </w:r>
            <w:r w:rsidR="00193C1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</w:tr>
      <w:tr w:rsidR="008A41E9" w14:paraId="04CB8C81" w14:textId="77777777" w:rsidTr="008A41E9">
        <w:tc>
          <w:tcPr>
            <w:tcW w:w="3505" w:type="dxa"/>
          </w:tcPr>
          <w:p w14:paraId="0B07B220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Mean value of dk</w:t>
            </w:r>
          </w:p>
        </w:tc>
        <w:tc>
          <w:tcPr>
            <w:tcW w:w="1260" w:type="dxa"/>
          </w:tcPr>
          <w:p w14:paraId="41493637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m</w:t>
            </w:r>
            <w:r w:rsidRPr="001616FF">
              <w:rPr>
                <w:rFonts w:ascii="Sylfaen" w:hAnsi="Sylfaen"/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0" w:type="dxa"/>
          </w:tcPr>
          <w:p w14:paraId="30B1A57D" w14:textId="500B7533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≤0.75</w:t>
            </w:r>
          </w:p>
        </w:tc>
      </w:tr>
      <w:tr w:rsidR="008A41E9" w14:paraId="57F067EF" w14:textId="77777777" w:rsidTr="008A41E9">
        <w:tc>
          <w:tcPr>
            <w:tcW w:w="3505" w:type="dxa"/>
          </w:tcPr>
          <w:p w14:paraId="0FD9D6B5" w14:textId="77777777" w:rsidR="008A41E9" w:rsidRPr="001616FF" w:rsidRDefault="008A41E9" w:rsidP="001F2DE2">
            <w:pPr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Tolerance in Length</w:t>
            </w:r>
          </w:p>
          <w:p w14:paraId="330E86D1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Tolerance in sides</w:t>
            </w:r>
          </w:p>
        </w:tc>
        <w:tc>
          <w:tcPr>
            <w:tcW w:w="1260" w:type="dxa"/>
          </w:tcPr>
          <w:p w14:paraId="4F56C815" w14:textId="77777777" w:rsidR="008A41E9" w:rsidRPr="001616FF" w:rsidRDefault="008A41E9" w:rsidP="001F2DE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μm</w:t>
            </w:r>
          </w:p>
          <w:p w14:paraId="4F46A465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μm</w:t>
            </w:r>
          </w:p>
        </w:tc>
        <w:tc>
          <w:tcPr>
            <w:tcW w:w="1980" w:type="dxa"/>
          </w:tcPr>
          <w:p w14:paraId="641D9D91" w14:textId="0A4566A8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>≤±10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0 -≤±50</w:t>
            </w:r>
          </w:p>
        </w:tc>
      </w:tr>
      <w:tr w:rsidR="008A41E9" w14:paraId="1D9B1437" w14:textId="77777777" w:rsidTr="008A41E9">
        <w:tc>
          <w:tcPr>
            <w:tcW w:w="3505" w:type="dxa"/>
          </w:tcPr>
          <w:p w14:paraId="3CD01CA2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Surface polished, roughness</w:t>
            </w:r>
            <w:r w:rsidRPr="001616F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Ra</w:t>
            </w:r>
          </w:p>
        </w:tc>
        <w:tc>
          <w:tcPr>
            <w:tcW w:w="1260" w:type="dxa"/>
          </w:tcPr>
          <w:p w14:paraId="16E74068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μm</w:t>
            </w:r>
          </w:p>
        </w:tc>
        <w:tc>
          <w:tcPr>
            <w:tcW w:w="1980" w:type="dxa"/>
          </w:tcPr>
          <w:p w14:paraId="409E892F" w14:textId="5E411DE9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≤0.02</w:t>
            </w:r>
          </w:p>
        </w:tc>
      </w:tr>
      <w:tr w:rsidR="008A41E9" w14:paraId="6D969239" w14:textId="77777777" w:rsidTr="008A41E9">
        <w:tc>
          <w:tcPr>
            <w:tcW w:w="3505" w:type="dxa"/>
          </w:tcPr>
          <w:p w14:paraId="61633C33" w14:textId="77777777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Tolerance in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Rectangularity (90°)</w:t>
            </w:r>
          </w:p>
        </w:tc>
        <w:tc>
          <w:tcPr>
            <w:tcW w:w="1260" w:type="dxa"/>
          </w:tcPr>
          <w:p w14:paraId="37094F8A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degree</w:t>
            </w:r>
          </w:p>
        </w:tc>
        <w:tc>
          <w:tcPr>
            <w:tcW w:w="1980" w:type="dxa"/>
          </w:tcPr>
          <w:p w14:paraId="7B3D20E5" w14:textId="3F7DC63F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≤0.1</w:t>
            </w:r>
          </w:p>
        </w:tc>
      </w:tr>
      <w:tr w:rsidR="008A41E9" w14:paraId="29707B96" w14:textId="77777777" w:rsidTr="008A41E9">
        <w:tc>
          <w:tcPr>
            <w:tcW w:w="3505" w:type="dxa"/>
          </w:tcPr>
          <w:p w14:paraId="44748061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Purity specific.  (raw material)</w:t>
            </w:r>
          </w:p>
        </w:tc>
        <w:tc>
          <w:tcPr>
            <w:tcW w:w="1260" w:type="dxa"/>
          </w:tcPr>
          <w:p w14:paraId="446DE3D4" w14:textId="77777777" w:rsidR="008A41E9" w:rsidRDefault="008A41E9" w:rsidP="001F2DE2">
            <w:pPr>
              <w:spacing w:line="288" w:lineRule="auto"/>
              <w:jc w:val="both"/>
            </w:pPr>
          </w:p>
        </w:tc>
        <w:tc>
          <w:tcPr>
            <w:tcW w:w="1980" w:type="dxa"/>
          </w:tcPr>
          <w:p w14:paraId="46CA06A5" w14:textId="77777777" w:rsidR="008A41E9" w:rsidRDefault="008A41E9" w:rsidP="001F2DE2">
            <w:pPr>
              <w:spacing w:line="288" w:lineRule="auto"/>
            </w:pPr>
          </w:p>
        </w:tc>
      </w:tr>
      <w:tr w:rsidR="008A41E9" w14:paraId="29959CCD" w14:textId="77777777" w:rsidTr="008A41E9">
        <w:tc>
          <w:tcPr>
            <w:tcW w:w="3505" w:type="dxa"/>
          </w:tcPr>
          <w:p w14:paraId="5B41F6BE" w14:textId="77777777" w:rsidR="008A41E9" w:rsidRDefault="008A41E9" w:rsidP="001F2DE2">
            <w:pPr>
              <w:spacing w:line="288" w:lineRule="auto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Mo contamination</w:t>
            </w:r>
          </w:p>
        </w:tc>
        <w:tc>
          <w:tcPr>
            <w:tcW w:w="1260" w:type="dxa"/>
          </w:tcPr>
          <w:p w14:paraId="0CA3BB48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ppm</w:t>
            </w:r>
          </w:p>
        </w:tc>
        <w:tc>
          <w:tcPr>
            <w:tcW w:w="1980" w:type="dxa"/>
          </w:tcPr>
          <w:p w14:paraId="00546DFC" w14:textId="45D893F6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&lt;10</w:t>
            </w:r>
          </w:p>
        </w:tc>
      </w:tr>
      <w:tr w:rsidR="008A41E9" w14:paraId="719B57D3" w14:textId="77777777" w:rsidTr="008A41E9">
        <w:tc>
          <w:tcPr>
            <w:tcW w:w="3505" w:type="dxa"/>
          </w:tcPr>
          <w:p w14:paraId="6BAD38C4" w14:textId="77777777" w:rsidR="008A41E9" w:rsidRPr="00AB5FD5" w:rsidRDefault="008A41E9" w:rsidP="001F2DE2">
            <w:pPr>
              <w:spacing w:line="288" w:lineRule="auto"/>
              <w:rPr>
                <w:lang w:val="fr-FR"/>
              </w:rPr>
            </w:pPr>
            <w:r w:rsidRPr="00AB5FD5">
              <w:rPr>
                <w:rFonts w:ascii="Sylfaen" w:hAnsi="Sylfaen"/>
                <w:b/>
                <w:sz w:val="20"/>
                <w:szCs w:val="20"/>
                <w:lang w:val="fr-FR"/>
              </w:rPr>
              <w:t>La, Y, Nb, Lu</w:t>
            </w:r>
            <w:r w:rsidRPr="001616F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B5FD5">
              <w:rPr>
                <w:rFonts w:ascii="Sylfaen" w:hAnsi="Sylfaen"/>
                <w:b/>
                <w:sz w:val="20"/>
                <w:szCs w:val="20"/>
                <w:lang w:val="fr-FR"/>
              </w:rPr>
              <w:t>contamination</w:t>
            </w:r>
          </w:p>
        </w:tc>
        <w:tc>
          <w:tcPr>
            <w:tcW w:w="1260" w:type="dxa"/>
          </w:tcPr>
          <w:p w14:paraId="6F679E4D" w14:textId="77777777" w:rsidR="008A41E9" w:rsidRDefault="008A41E9" w:rsidP="001F2DE2">
            <w:pPr>
              <w:spacing w:line="288" w:lineRule="auto"/>
              <w:jc w:val="both"/>
            </w:pPr>
            <w:r w:rsidRPr="001616FF">
              <w:rPr>
                <w:rFonts w:ascii="Sylfaen" w:hAnsi="Sylfaen"/>
                <w:b/>
                <w:sz w:val="20"/>
                <w:szCs w:val="20"/>
              </w:rPr>
              <w:t>ppm</w:t>
            </w:r>
          </w:p>
        </w:tc>
        <w:tc>
          <w:tcPr>
            <w:tcW w:w="1980" w:type="dxa"/>
          </w:tcPr>
          <w:p w14:paraId="7530EDC6" w14:textId="393D1FAD" w:rsidR="008A41E9" w:rsidRDefault="008A41E9" w:rsidP="001F2DE2">
            <w:pPr>
              <w:spacing w:line="288" w:lineRule="auto"/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1616FF">
              <w:rPr>
                <w:rFonts w:ascii="Sylfaen" w:hAnsi="Sylfaen"/>
                <w:b/>
                <w:sz w:val="20"/>
                <w:szCs w:val="20"/>
              </w:rPr>
              <w:t>≤40</w:t>
            </w:r>
          </w:p>
        </w:tc>
      </w:tr>
    </w:tbl>
    <w:p w14:paraId="67469621" w14:textId="77777777" w:rsidR="00262B32" w:rsidRDefault="00262B32" w:rsidP="00262B32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685658E5" w14:textId="4A8104CE" w:rsidR="008A41E9" w:rsidRDefault="00996A59" w:rsidP="00996A59">
      <w:pPr>
        <w:rPr>
          <w:lang w:val="en-US"/>
        </w:rPr>
      </w:pPr>
      <w:r w:rsidRPr="001948A0">
        <w:t xml:space="preserve">In addition to the specification shown in Table 1, crystals should have no </w:t>
      </w:r>
      <w:r>
        <w:rPr>
          <w:lang w:val="en-US"/>
        </w:rPr>
        <w:t xml:space="preserve">visible </w:t>
      </w:r>
      <w:r w:rsidRPr="001948A0">
        <w:t>cracks</w:t>
      </w:r>
      <w:r w:rsidR="006E3F5B">
        <w:t xml:space="preserve"> in the main volume.</w:t>
      </w:r>
      <w:r w:rsidRPr="001948A0">
        <w:t xml:space="preserve"> </w:t>
      </w:r>
      <w:r w:rsidR="006E3F5B">
        <w:t>O</w:t>
      </w:r>
      <w:r w:rsidRPr="001948A0">
        <w:t>n the chamfers prolonging in to the crystal</w:t>
      </w:r>
      <w:r w:rsidR="006E3F5B">
        <w:t xml:space="preserve"> cracks</w:t>
      </w:r>
      <w:r w:rsidRPr="00A41C3B">
        <w:rPr>
          <w:lang w:val="en-US"/>
        </w:rPr>
        <w:t xml:space="preserve"> should b</w:t>
      </w:r>
      <w:r>
        <w:rPr>
          <w:lang w:val="en-US"/>
        </w:rPr>
        <w:t>e not more than 0.5 mm deep</w:t>
      </w:r>
      <w:r w:rsidRPr="00A41C3B">
        <w:rPr>
          <w:lang w:val="en-US"/>
        </w:rPr>
        <w:t>.</w:t>
      </w:r>
    </w:p>
    <w:p w14:paraId="7F65CDC3" w14:textId="7F93AE11" w:rsidR="008A41E9" w:rsidRDefault="008A41E9" w:rsidP="00996A59">
      <w:pPr>
        <w:rPr>
          <w:lang w:val="en-US"/>
        </w:rPr>
      </w:pPr>
    </w:p>
    <w:p w14:paraId="43E44A1F" w14:textId="42934D32" w:rsidR="008A41E9" w:rsidRDefault="008A41E9" w:rsidP="008A41E9">
      <w:r>
        <w:t>Crystals delivered by the vendor should be packed</w:t>
      </w:r>
      <w:r w:rsidR="006E3F5B">
        <w:t xml:space="preserve">, </w:t>
      </w:r>
      <w:r>
        <w:t>in separate packages, lamellar foamed polyurethane and a cellular Styrofoam container, or similar</w:t>
      </w:r>
      <w:r w:rsidR="006E3F5B">
        <w:t xml:space="preserve">, to </w:t>
      </w:r>
      <w:r>
        <w:t>protect</w:t>
      </w:r>
      <w:r w:rsidR="006E3F5B">
        <w:t xml:space="preserve"> individual </w:t>
      </w:r>
      <w:r>
        <w:t>crystals</w:t>
      </w:r>
      <w:r w:rsidR="006E3F5B">
        <w:t xml:space="preserve"> for transportation and handling. Shipment packing is to further secure safety</w:t>
      </w:r>
      <w:r>
        <w:t xml:space="preserve"> from damage during transportation, as well as to protect crystals from atmospheric influence. Each box should include a packing list. </w:t>
      </w:r>
    </w:p>
    <w:p w14:paraId="5F89C8AC" w14:textId="77777777" w:rsidR="008A41E9" w:rsidRPr="00A41C3B" w:rsidRDefault="008A41E9" w:rsidP="00996A59">
      <w:pPr>
        <w:rPr>
          <w:lang w:val="en-US"/>
        </w:rPr>
      </w:pPr>
    </w:p>
    <w:p w14:paraId="6360F848" w14:textId="77777777" w:rsidR="00996A59" w:rsidRDefault="00996A59" w:rsidP="00996A59">
      <w:pPr>
        <w:pStyle w:val="Default"/>
        <w:ind w:firstLine="720"/>
        <w:rPr>
          <w:color w:val="auto"/>
          <w:sz w:val="22"/>
          <w:szCs w:val="22"/>
        </w:rPr>
      </w:pPr>
    </w:p>
    <w:p w14:paraId="12C40E78" w14:textId="0D474C0C" w:rsidR="00996A59" w:rsidRDefault="00996A59" w:rsidP="00B32BC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Conditions for crystal certification and acceptance</w:t>
      </w:r>
    </w:p>
    <w:p w14:paraId="066BD568" w14:textId="0A8D3AB7" w:rsidR="00996A59" w:rsidRPr="00FF3DFA" w:rsidRDefault="00B32BC6" w:rsidP="00996A59">
      <w:pPr>
        <w:tabs>
          <w:tab w:val="left" w:pos="284"/>
        </w:tabs>
        <w:ind w:right="90"/>
        <w:jc w:val="both"/>
        <w:rPr>
          <w:lang w:val="en-US"/>
        </w:rPr>
      </w:pPr>
      <w:r>
        <w:rPr>
          <w:lang w:val="en-US"/>
        </w:rPr>
        <w:tab/>
      </w:r>
      <w:r w:rsidR="00996A59" w:rsidRPr="00FF3DFA">
        <w:rPr>
          <w:lang w:val="en-US"/>
        </w:rPr>
        <w:t xml:space="preserve">The Neutral Particle Spectrometer (NPS) collaboration is responsible for the certification of the crystals delivered by </w:t>
      </w:r>
      <w:r w:rsidR="008A41E9">
        <w:rPr>
          <w:lang w:val="en-US"/>
        </w:rPr>
        <w:t>CRYTUR</w:t>
      </w:r>
      <w:r w:rsidR="00996A59" w:rsidRPr="00FF3DFA">
        <w:rPr>
          <w:lang w:val="en-US"/>
        </w:rPr>
        <w:t xml:space="preserve">. The </w:t>
      </w:r>
      <w:r w:rsidR="00996A59" w:rsidRPr="00FF3DFA">
        <w:rPr>
          <w:lang w:val="en-US"/>
        </w:rPr>
        <w:lastRenderedPageBreak/>
        <w:t xml:space="preserve">NPS collaboration is not obliged to disclose the results of the certification to </w:t>
      </w:r>
      <w:r w:rsidR="008A41E9">
        <w:rPr>
          <w:lang w:val="en-US"/>
        </w:rPr>
        <w:t>CRYTUR</w:t>
      </w:r>
      <w:r w:rsidR="00996A59" w:rsidRPr="00FF3DFA">
        <w:rPr>
          <w:lang w:val="en-US"/>
        </w:rPr>
        <w:t xml:space="preserve">, except for rejected crystals. The result of the certification will be summarized in a certification protocol including the following parameters </w:t>
      </w:r>
    </w:p>
    <w:p w14:paraId="71E6B904" w14:textId="4A3A20B6" w:rsidR="00996A59" w:rsidRPr="00FF3DFA" w:rsidRDefault="00996A59" w:rsidP="00996A59">
      <w:pPr>
        <w:pStyle w:val="ListParagraph"/>
        <w:numPr>
          <w:ilvl w:val="0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FF3DFA">
        <w:rPr>
          <w:lang w:val="en-US"/>
        </w:rPr>
        <w:t xml:space="preserve">Individual number corresponding to the </w:t>
      </w:r>
      <w:r w:rsidR="008A41E9">
        <w:rPr>
          <w:lang w:val="en-US"/>
        </w:rPr>
        <w:t>CRYTUR</w:t>
      </w:r>
      <w:r w:rsidRPr="00FF3DFA">
        <w:rPr>
          <w:lang w:val="en-US"/>
        </w:rPr>
        <w:t xml:space="preserve"> number</w:t>
      </w:r>
    </w:p>
    <w:p w14:paraId="3B54BE2C" w14:textId="77777777" w:rsidR="00996A59" w:rsidRPr="00FF3DFA" w:rsidRDefault="00996A59" w:rsidP="00996A59">
      <w:pPr>
        <w:pStyle w:val="ListParagraph"/>
        <w:numPr>
          <w:ilvl w:val="0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FF3DFA">
        <w:rPr>
          <w:lang w:val="en-US"/>
        </w:rPr>
        <w:t>Dimensions of the crystal</w:t>
      </w:r>
    </w:p>
    <w:p w14:paraId="3D10713B" w14:textId="1EF7C8D2" w:rsidR="00996A59" w:rsidRPr="00FF3DFA" w:rsidRDefault="00996A59" w:rsidP="00996A59">
      <w:pPr>
        <w:pStyle w:val="ListParagraph"/>
        <w:numPr>
          <w:ilvl w:val="0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FF3DFA">
        <w:rPr>
          <w:lang w:val="en-US"/>
        </w:rPr>
        <w:t xml:space="preserve">Visual inspection report </w:t>
      </w:r>
    </w:p>
    <w:p w14:paraId="3AD4B6B5" w14:textId="77777777" w:rsidR="00996A59" w:rsidRPr="00FF3DFA" w:rsidRDefault="00996A59" w:rsidP="00996A59">
      <w:pPr>
        <w:pStyle w:val="ListParagraph"/>
        <w:numPr>
          <w:ilvl w:val="0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FF3DFA">
        <w:rPr>
          <w:lang w:val="en-US"/>
        </w:rPr>
        <w:t>Optical properties of the crystal:</w:t>
      </w:r>
    </w:p>
    <w:p w14:paraId="0D72022B" w14:textId="77777777" w:rsidR="00996A59" w:rsidRDefault="00996A59" w:rsidP="00996A59">
      <w:pPr>
        <w:pStyle w:val="ListParagraph"/>
        <w:numPr>
          <w:ilvl w:val="1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FF3DFA">
        <w:rPr>
          <w:lang w:val="en-US"/>
        </w:rPr>
        <w:t>T, % at 360nm,</w:t>
      </w:r>
    </w:p>
    <w:p w14:paraId="69C9D8E0" w14:textId="77777777" w:rsidR="00996A59" w:rsidRDefault="00996A59" w:rsidP="00996A59">
      <w:pPr>
        <w:pStyle w:val="ListParagraph"/>
        <w:numPr>
          <w:ilvl w:val="1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D26237">
        <w:rPr>
          <w:lang w:val="en-US"/>
        </w:rPr>
        <w:t>T, % at 420nm,</w:t>
      </w:r>
    </w:p>
    <w:p w14:paraId="7F91FE7C" w14:textId="77777777" w:rsidR="00996A59" w:rsidRDefault="00996A59" w:rsidP="00996A59">
      <w:pPr>
        <w:pStyle w:val="ListParagraph"/>
        <w:numPr>
          <w:ilvl w:val="1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D26237">
        <w:rPr>
          <w:lang w:val="en-US"/>
        </w:rPr>
        <w:t>T, % at 620nm,</w:t>
      </w:r>
    </w:p>
    <w:p w14:paraId="1EDCD794" w14:textId="77777777" w:rsidR="00996A59" w:rsidRDefault="00996A59" w:rsidP="00996A59">
      <w:pPr>
        <w:pStyle w:val="ListParagraph"/>
        <w:numPr>
          <w:ilvl w:val="1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D26237">
        <w:rPr>
          <w:lang w:val="en-US"/>
        </w:rPr>
        <w:t>Scintillation yield</w:t>
      </w:r>
    </w:p>
    <w:p w14:paraId="19471E69" w14:textId="77777777" w:rsidR="00996A59" w:rsidRDefault="00996A59" w:rsidP="00996A59">
      <w:pPr>
        <w:pStyle w:val="ListParagraph"/>
        <w:numPr>
          <w:ilvl w:val="1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D26237">
        <w:rPr>
          <w:lang w:val="en-US"/>
        </w:rPr>
        <w:t>Scintillation kinetics</w:t>
      </w:r>
    </w:p>
    <w:p w14:paraId="58666D39" w14:textId="77777777" w:rsidR="00996A59" w:rsidRPr="00D26237" w:rsidRDefault="00996A59" w:rsidP="00996A59">
      <w:pPr>
        <w:pStyle w:val="ListParagraph"/>
        <w:numPr>
          <w:ilvl w:val="1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D26237">
        <w:rPr>
          <w:lang w:val="en-US"/>
        </w:rPr>
        <w:t>Non-uniformity of the transversal transmission</w:t>
      </w:r>
    </w:p>
    <w:p w14:paraId="6C78FDB2" w14:textId="77777777" w:rsidR="00996A59" w:rsidRPr="00FF3DFA" w:rsidRDefault="00996A59" w:rsidP="00996A59">
      <w:pPr>
        <w:pStyle w:val="ListParagraph"/>
        <w:numPr>
          <w:ilvl w:val="0"/>
          <w:numId w:val="10"/>
        </w:numPr>
        <w:tabs>
          <w:tab w:val="left" w:pos="284"/>
        </w:tabs>
        <w:ind w:right="90"/>
        <w:jc w:val="both"/>
        <w:rPr>
          <w:lang w:val="en-US"/>
        </w:rPr>
      </w:pPr>
      <w:r w:rsidRPr="00FF3DFA">
        <w:rPr>
          <w:lang w:val="en-US"/>
        </w:rPr>
        <w:t>Radiation hardness (if measured)</w:t>
      </w:r>
    </w:p>
    <w:p w14:paraId="4655688B" w14:textId="797883A1" w:rsidR="004664F7" w:rsidRPr="00A30C74" w:rsidRDefault="004664F7" w:rsidP="004664F7"/>
    <w:sectPr w:rsidR="004664F7" w:rsidRPr="00A30C74" w:rsidSect="003F2BEA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4E4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66701"/>
    <w:multiLevelType w:val="hybridMultilevel"/>
    <w:tmpl w:val="7AB8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38C"/>
    <w:multiLevelType w:val="hybridMultilevel"/>
    <w:tmpl w:val="CCE27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7479E"/>
    <w:multiLevelType w:val="hybridMultilevel"/>
    <w:tmpl w:val="624E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6D74"/>
    <w:multiLevelType w:val="hybridMultilevel"/>
    <w:tmpl w:val="696260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13006"/>
    <w:multiLevelType w:val="hybridMultilevel"/>
    <w:tmpl w:val="1AE29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743148"/>
    <w:multiLevelType w:val="hybridMultilevel"/>
    <w:tmpl w:val="AA6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C0A38"/>
    <w:multiLevelType w:val="hybridMultilevel"/>
    <w:tmpl w:val="8286C0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5352C2"/>
    <w:multiLevelType w:val="hybridMultilevel"/>
    <w:tmpl w:val="4858E7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A661C3"/>
    <w:multiLevelType w:val="hybridMultilevel"/>
    <w:tmpl w:val="994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146D7"/>
    <w:multiLevelType w:val="hybridMultilevel"/>
    <w:tmpl w:val="9A7CF338"/>
    <w:lvl w:ilvl="0" w:tplc="A07E94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745E2"/>
    <w:multiLevelType w:val="hybridMultilevel"/>
    <w:tmpl w:val="4F921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A"/>
    <w:rsid w:val="0007738C"/>
    <w:rsid w:val="00084582"/>
    <w:rsid w:val="00096665"/>
    <w:rsid w:val="000E15CE"/>
    <w:rsid w:val="000E1BB0"/>
    <w:rsid w:val="00111957"/>
    <w:rsid w:val="0011383D"/>
    <w:rsid w:val="00114C9B"/>
    <w:rsid w:val="0012418F"/>
    <w:rsid w:val="001402F0"/>
    <w:rsid w:val="001502CD"/>
    <w:rsid w:val="00157BEE"/>
    <w:rsid w:val="00180470"/>
    <w:rsid w:val="00193C1B"/>
    <w:rsid w:val="001B3FC6"/>
    <w:rsid w:val="001B6EE6"/>
    <w:rsid w:val="001B7174"/>
    <w:rsid w:val="001F2DE2"/>
    <w:rsid w:val="00220C25"/>
    <w:rsid w:val="00224CF4"/>
    <w:rsid w:val="00234AB5"/>
    <w:rsid w:val="0024401F"/>
    <w:rsid w:val="00260ED7"/>
    <w:rsid w:val="00262B32"/>
    <w:rsid w:val="00264725"/>
    <w:rsid w:val="00267B4D"/>
    <w:rsid w:val="00272ECE"/>
    <w:rsid w:val="00274AA3"/>
    <w:rsid w:val="00290FF2"/>
    <w:rsid w:val="002C41BA"/>
    <w:rsid w:val="002F5E82"/>
    <w:rsid w:val="00323929"/>
    <w:rsid w:val="0034083F"/>
    <w:rsid w:val="00341217"/>
    <w:rsid w:val="003516A1"/>
    <w:rsid w:val="003643F3"/>
    <w:rsid w:val="003664A1"/>
    <w:rsid w:val="00387A17"/>
    <w:rsid w:val="003C3AF3"/>
    <w:rsid w:val="003D7F79"/>
    <w:rsid w:val="003F2BEA"/>
    <w:rsid w:val="00456501"/>
    <w:rsid w:val="004664F7"/>
    <w:rsid w:val="004E38A5"/>
    <w:rsid w:val="00527C6A"/>
    <w:rsid w:val="00537337"/>
    <w:rsid w:val="00564230"/>
    <w:rsid w:val="005728D5"/>
    <w:rsid w:val="0059761F"/>
    <w:rsid w:val="005B59EF"/>
    <w:rsid w:val="005D39A9"/>
    <w:rsid w:val="005F24C4"/>
    <w:rsid w:val="005F36F5"/>
    <w:rsid w:val="0062354E"/>
    <w:rsid w:val="0062489F"/>
    <w:rsid w:val="0062793E"/>
    <w:rsid w:val="00630768"/>
    <w:rsid w:val="006528D1"/>
    <w:rsid w:val="00654383"/>
    <w:rsid w:val="006760E2"/>
    <w:rsid w:val="006A58F3"/>
    <w:rsid w:val="006B156C"/>
    <w:rsid w:val="006B416D"/>
    <w:rsid w:val="006B765B"/>
    <w:rsid w:val="006C159B"/>
    <w:rsid w:val="006D1873"/>
    <w:rsid w:val="006D579E"/>
    <w:rsid w:val="006E3F5B"/>
    <w:rsid w:val="006E5ABE"/>
    <w:rsid w:val="00700955"/>
    <w:rsid w:val="00723C46"/>
    <w:rsid w:val="0077411D"/>
    <w:rsid w:val="00782282"/>
    <w:rsid w:val="007A2436"/>
    <w:rsid w:val="007A584F"/>
    <w:rsid w:val="007B705E"/>
    <w:rsid w:val="007D3B93"/>
    <w:rsid w:val="007E6897"/>
    <w:rsid w:val="00836995"/>
    <w:rsid w:val="00847BAE"/>
    <w:rsid w:val="008A0041"/>
    <w:rsid w:val="008A41E9"/>
    <w:rsid w:val="008C7981"/>
    <w:rsid w:val="008E68BC"/>
    <w:rsid w:val="009516D3"/>
    <w:rsid w:val="009603F6"/>
    <w:rsid w:val="009662B7"/>
    <w:rsid w:val="00976FF0"/>
    <w:rsid w:val="00996A59"/>
    <w:rsid w:val="009A6A19"/>
    <w:rsid w:val="009D2EF8"/>
    <w:rsid w:val="00A16B3F"/>
    <w:rsid w:val="00A30C74"/>
    <w:rsid w:val="00A50D3F"/>
    <w:rsid w:val="00A51BEB"/>
    <w:rsid w:val="00A7156D"/>
    <w:rsid w:val="00A83CD7"/>
    <w:rsid w:val="00AA00C4"/>
    <w:rsid w:val="00AA2521"/>
    <w:rsid w:val="00AA62FC"/>
    <w:rsid w:val="00AB5FD5"/>
    <w:rsid w:val="00AE7BFD"/>
    <w:rsid w:val="00B01003"/>
    <w:rsid w:val="00B10ECA"/>
    <w:rsid w:val="00B27604"/>
    <w:rsid w:val="00B32BC6"/>
    <w:rsid w:val="00B71358"/>
    <w:rsid w:val="00B960F7"/>
    <w:rsid w:val="00BA5D89"/>
    <w:rsid w:val="00BB4666"/>
    <w:rsid w:val="00BB666B"/>
    <w:rsid w:val="00BD4BE3"/>
    <w:rsid w:val="00BD6129"/>
    <w:rsid w:val="00C22049"/>
    <w:rsid w:val="00C44A7A"/>
    <w:rsid w:val="00C45747"/>
    <w:rsid w:val="00C45B1E"/>
    <w:rsid w:val="00C574D9"/>
    <w:rsid w:val="00C654FC"/>
    <w:rsid w:val="00C745FF"/>
    <w:rsid w:val="00C7662A"/>
    <w:rsid w:val="00C77508"/>
    <w:rsid w:val="00CA55CF"/>
    <w:rsid w:val="00CE3B29"/>
    <w:rsid w:val="00CE62AC"/>
    <w:rsid w:val="00D02FD9"/>
    <w:rsid w:val="00D3186D"/>
    <w:rsid w:val="00D60C99"/>
    <w:rsid w:val="00D97004"/>
    <w:rsid w:val="00DB61C6"/>
    <w:rsid w:val="00DE6AB8"/>
    <w:rsid w:val="00E46DEE"/>
    <w:rsid w:val="00E65B1B"/>
    <w:rsid w:val="00EC686B"/>
    <w:rsid w:val="00ED26D4"/>
    <w:rsid w:val="00EE7801"/>
    <w:rsid w:val="00F07A46"/>
    <w:rsid w:val="00F12F73"/>
    <w:rsid w:val="00F17A14"/>
    <w:rsid w:val="00F71440"/>
    <w:rsid w:val="00F9633B"/>
    <w:rsid w:val="00FC4F1A"/>
    <w:rsid w:val="00FD50D2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43CC2"/>
  <w14:defaultImageDpi w14:val="300"/>
  <w15:docId w15:val="{C88CEDC3-C5C2-4B5C-81B1-F678BC2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6B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E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24CF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4CF4"/>
    <w:rPr>
      <w:rFonts w:ascii="Calibri" w:eastAsia="MS Gothic" w:hAnsi="Calibri" w:cs="Times New Roman"/>
      <w:b/>
      <w:bCs/>
      <w:kern w:val="28"/>
      <w:sz w:val="32"/>
      <w:szCs w:val="32"/>
      <w:lang w:val="en-GB" w:eastAsia="en-GB"/>
    </w:rPr>
  </w:style>
  <w:style w:type="character" w:customStyle="1" w:styleId="Heading1Char">
    <w:name w:val="Heading 1 Char"/>
    <w:link w:val="Heading1"/>
    <w:uiPriority w:val="9"/>
    <w:rsid w:val="00EC686B"/>
    <w:rPr>
      <w:rFonts w:ascii="Calibri Light" w:eastAsia="MS Gothic" w:hAnsi="Calibri Light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9662B7"/>
    <w:pPr>
      <w:ind w:left="720"/>
      <w:contextualSpacing/>
    </w:pPr>
  </w:style>
  <w:style w:type="table" w:styleId="TableGrid">
    <w:name w:val="Table Grid"/>
    <w:basedOn w:val="TableNormal"/>
    <w:uiPriority w:val="59"/>
    <w:rsid w:val="0023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B3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62B32"/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2B32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XDAC Report</vt:lpstr>
    </vt:vector>
  </TitlesOfParts>
  <Company>DESY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XDAC Report</dc:title>
  <dc:subject/>
  <dc:creator>Stefanie Jack</dc:creator>
  <cp:keywords/>
  <cp:lastModifiedBy>somov</cp:lastModifiedBy>
  <cp:revision>2</cp:revision>
  <cp:lastPrinted>2018-04-13T18:04:00Z</cp:lastPrinted>
  <dcterms:created xsi:type="dcterms:W3CDTF">2019-04-04T00:25:00Z</dcterms:created>
  <dcterms:modified xsi:type="dcterms:W3CDTF">2019-04-04T00:25:00Z</dcterms:modified>
</cp:coreProperties>
</file>